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jc w:val="right"/>
        <w:tblLook w:val="01E0" w:firstRow="1" w:lastRow="1" w:firstColumn="1" w:lastColumn="1" w:noHBand="0" w:noVBand="0"/>
      </w:tblPr>
      <w:tblGrid>
        <w:gridCol w:w="4786"/>
        <w:gridCol w:w="4682"/>
      </w:tblGrid>
      <w:tr w:rsidR="005130C2" w:rsidRPr="00E30EEB" w:rsidTr="00BF566D">
        <w:trPr>
          <w:jc w:val="right"/>
        </w:trPr>
        <w:tc>
          <w:tcPr>
            <w:tcW w:w="4786" w:type="dxa"/>
            <w:shd w:val="clear" w:color="auto" w:fill="auto"/>
          </w:tcPr>
          <w:p w:rsidR="005130C2" w:rsidRPr="005118F5" w:rsidRDefault="005130C2" w:rsidP="00BF566D">
            <w:pPr>
              <w:tabs>
                <w:tab w:val="left" w:pos="720"/>
              </w:tabs>
              <w:jc w:val="right"/>
              <w:rPr>
                <w:b/>
              </w:rPr>
            </w:pPr>
          </w:p>
        </w:tc>
        <w:tc>
          <w:tcPr>
            <w:tcW w:w="4682" w:type="dxa"/>
            <w:shd w:val="clear" w:color="auto" w:fill="auto"/>
          </w:tcPr>
          <w:p w:rsidR="002C5587" w:rsidRDefault="002C5587" w:rsidP="00BF566D">
            <w:pPr>
              <w:jc w:val="center"/>
              <w:rPr>
                <w:sz w:val="28"/>
                <w:szCs w:val="28"/>
              </w:rPr>
            </w:pPr>
            <w:r w:rsidRPr="002C5587">
              <w:rPr>
                <w:sz w:val="28"/>
                <w:szCs w:val="28"/>
              </w:rPr>
              <w:t>ПРОЕКТ</w:t>
            </w:r>
          </w:p>
          <w:p w:rsidR="002C5587" w:rsidRPr="002C5587" w:rsidRDefault="002C5587" w:rsidP="00BF566D">
            <w:pPr>
              <w:jc w:val="center"/>
              <w:rPr>
                <w:sz w:val="28"/>
                <w:szCs w:val="28"/>
              </w:rPr>
            </w:pPr>
          </w:p>
          <w:p w:rsidR="005130C2" w:rsidRPr="00DF33E4" w:rsidRDefault="005130C2" w:rsidP="00BF566D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DF33E4">
              <w:rPr>
                <w:sz w:val="28"/>
                <w:szCs w:val="28"/>
              </w:rPr>
              <w:t>ПРИЛОЖЕНИЕ</w:t>
            </w:r>
          </w:p>
          <w:p w:rsidR="005130C2" w:rsidRPr="00DF33E4" w:rsidRDefault="005130C2" w:rsidP="00BF566D">
            <w:pPr>
              <w:jc w:val="center"/>
              <w:rPr>
                <w:sz w:val="28"/>
                <w:szCs w:val="28"/>
              </w:rPr>
            </w:pPr>
            <w:r w:rsidRPr="00DF33E4">
              <w:rPr>
                <w:sz w:val="28"/>
                <w:szCs w:val="28"/>
              </w:rPr>
              <w:t>к распоряжению</w:t>
            </w:r>
          </w:p>
          <w:p w:rsidR="005130C2" w:rsidRPr="00DF33E4" w:rsidRDefault="005130C2" w:rsidP="00BF566D">
            <w:pPr>
              <w:jc w:val="center"/>
              <w:rPr>
                <w:sz w:val="28"/>
                <w:szCs w:val="28"/>
              </w:rPr>
            </w:pPr>
            <w:r w:rsidRPr="00DF33E4">
              <w:rPr>
                <w:sz w:val="28"/>
                <w:szCs w:val="28"/>
              </w:rPr>
              <w:t>Администрации города Тобольска</w:t>
            </w:r>
          </w:p>
          <w:p w:rsidR="005130C2" w:rsidRPr="00E30EEB" w:rsidRDefault="005130C2" w:rsidP="002C5587">
            <w:pPr>
              <w:jc w:val="center"/>
              <w:rPr>
                <w:b/>
                <w:color w:val="FF0000"/>
              </w:rPr>
            </w:pPr>
            <w:r w:rsidRPr="00DF33E4">
              <w:rPr>
                <w:sz w:val="28"/>
                <w:szCs w:val="28"/>
              </w:rPr>
              <w:t xml:space="preserve">от </w:t>
            </w:r>
            <w:r w:rsidR="002C5587" w:rsidRPr="00DF33E4">
              <w:rPr>
                <w:sz w:val="28"/>
                <w:szCs w:val="28"/>
              </w:rPr>
              <w:t xml:space="preserve">    </w:t>
            </w:r>
            <w:r w:rsidRPr="00DF33E4">
              <w:rPr>
                <w:sz w:val="28"/>
                <w:szCs w:val="28"/>
              </w:rPr>
              <w:t xml:space="preserve">2020 г. № </w:t>
            </w:r>
            <w:bookmarkEnd w:id="0"/>
          </w:p>
        </w:tc>
      </w:tr>
    </w:tbl>
    <w:p w:rsidR="005130C2" w:rsidRDefault="005130C2" w:rsidP="005130C2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5130C2" w:rsidRPr="005118F5" w:rsidRDefault="005130C2" w:rsidP="005130C2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5130C2" w:rsidRPr="005118F5" w:rsidRDefault="005130C2" w:rsidP="005130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6"/>
      <w:bookmarkEnd w:id="1"/>
      <w:r w:rsidRPr="005118F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5118F5">
        <w:rPr>
          <w:rFonts w:ascii="Times New Roman" w:hAnsi="Times New Roman"/>
          <w:sz w:val="28"/>
          <w:szCs w:val="28"/>
        </w:rPr>
        <w:t>Сохранение, использование и популяризация объектов культурного наследия муниципального образования город Тобольск</w:t>
      </w:r>
      <w:r w:rsidRPr="005118F5">
        <w:rPr>
          <w:rFonts w:ascii="Times New Roman" w:hAnsi="Times New Roman" w:cs="Times New Roman"/>
          <w:sz w:val="28"/>
          <w:szCs w:val="28"/>
        </w:rPr>
        <w:t>»</w:t>
      </w:r>
    </w:p>
    <w:p w:rsidR="005130C2" w:rsidRPr="005118F5" w:rsidRDefault="005130C2" w:rsidP="005130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30C2" w:rsidRDefault="005130C2" w:rsidP="005130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</w:t>
      </w:r>
      <w:r w:rsidRPr="005118F5">
        <w:rPr>
          <w:rFonts w:ascii="Times New Roman" w:hAnsi="Times New Roman" w:cs="Times New Roman"/>
          <w:sz w:val="28"/>
          <w:szCs w:val="28"/>
        </w:rPr>
        <w:t>униципальной программы «</w:t>
      </w:r>
      <w:r w:rsidRPr="005118F5">
        <w:rPr>
          <w:rFonts w:ascii="Times New Roman" w:hAnsi="Times New Roman"/>
          <w:sz w:val="28"/>
          <w:szCs w:val="28"/>
        </w:rPr>
        <w:t>Сохранение, использование и популяризация объектов культурного наследия муниципального образования город Тобольск</w:t>
      </w:r>
      <w:r w:rsidRPr="005118F5">
        <w:rPr>
          <w:rFonts w:ascii="Times New Roman" w:hAnsi="Times New Roman" w:cs="Times New Roman"/>
          <w:sz w:val="28"/>
          <w:szCs w:val="28"/>
        </w:rPr>
        <w:t>»</w:t>
      </w:r>
    </w:p>
    <w:p w:rsidR="005130C2" w:rsidRPr="005118F5" w:rsidRDefault="005130C2" w:rsidP="005130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3041"/>
      </w:tblGrid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 программы</w:t>
            </w:r>
          </w:p>
        </w:tc>
        <w:tc>
          <w:tcPr>
            <w:tcW w:w="13041" w:type="dxa"/>
            <w:shd w:val="clear" w:color="auto" w:fill="auto"/>
          </w:tcPr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- Бюджетный кодекс Российской Федерации;</w:t>
            </w:r>
          </w:p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- Основы законодательства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ации о культуре от 09.10.1992 №</w:t>
            </w: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3612-1;</w:t>
            </w:r>
          </w:p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деральный закон от 25.06.2002 №</w:t>
            </w: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-ФЗ «</w:t>
            </w: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объектах культурного наследия (памятниках истории и культур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ы) народов Российской Федерации»</w:t>
            </w: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5130C2" w:rsidRPr="000E264B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- Устав города Тобольска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13041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градостроительства и землепользования Администрации города Тобольска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также по тексту - ДГЗ).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13041" w:type="dxa"/>
            <w:shd w:val="clear" w:color="auto" w:fill="auto"/>
          </w:tcPr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городской среды Администрации города Тобольска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также по тексту - ДГС).</w:t>
            </w:r>
          </w:p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Департамент имущественных отношений Администрации города Тобольска</w:t>
            </w:r>
            <w:r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также по тексту - ДИО).</w:t>
            </w:r>
          </w:p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по </w:t>
            </w:r>
            <w:r w:rsidRPr="005118F5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е</w:t>
            </w:r>
            <w:r w:rsidRPr="005118F5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и туризму </w:t>
            </w:r>
            <w:r w:rsidRPr="005118F5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Администрации города Тобольска</w:t>
            </w:r>
            <w:r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также по тексту - ДКТ).</w:t>
            </w:r>
          </w:p>
          <w:p w:rsidR="005130C2" w:rsidRPr="005118F5" w:rsidRDefault="005130C2" w:rsidP="00BF56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</w:t>
            </w:r>
            <w:r w:rsidRPr="00E22ECF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казенное учреждение «Имущественная казна города Тобольска» (далее также по тексту - МКУ «Имущественная казна»)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13041" w:type="dxa"/>
            <w:shd w:val="clear" w:color="auto" w:fill="auto"/>
          </w:tcPr>
          <w:p w:rsidR="005130C2" w:rsidRPr="005118F5" w:rsidRDefault="005130C2" w:rsidP="00BF566D">
            <w:pPr>
              <w:pStyle w:val="a3"/>
              <w:spacing w:before="0" w:beforeAutospacing="0" w:after="0" w:afterAutospacing="0"/>
              <w:jc w:val="both"/>
            </w:pPr>
            <w:r w:rsidRPr="005118F5">
              <w:t>1. Сохранение объектов культурного наследия (памятников истории и культуры), находящихся в собственности муниципального образования город Тобольск, и (или) переданных в пользование уполномоченному органу Администрации города Тобольска;</w:t>
            </w:r>
          </w:p>
          <w:p w:rsidR="005130C2" w:rsidRPr="005118F5" w:rsidRDefault="005130C2" w:rsidP="00BF566D">
            <w:pPr>
              <w:pStyle w:val="a3"/>
              <w:spacing w:before="0" w:beforeAutospacing="0" w:after="0" w:afterAutospacing="0"/>
              <w:jc w:val="both"/>
            </w:pPr>
            <w:r w:rsidRPr="005118F5">
              <w:t>2. Использование объектов культурного наследия (памятников истории и культуры), находящихся в собственности муниципального образования город Тобольск;</w:t>
            </w:r>
          </w:p>
          <w:p w:rsidR="005130C2" w:rsidRDefault="005130C2" w:rsidP="00BF566D">
            <w:pPr>
              <w:pStyle w:val="a3"/>
              <w:spacing w:before="0" w:beforeAutospacing="0" w:after="0" w:afterAutospacing="0"/>
              <w:jc w:val="both"/>
            </w:pPr>
            <w:r w:rsidRPr="005118F5">
              <w:lastRenderedPageBreak/>
              <w:t>3. Популяризация объектов культурного наследия (памятников истории и культуры), находящихся на территории города Тобольска.</w:t>
            </w:r>
          </w:p>
          <w:p w:rsidR="005130C2" w:rsidRPr="005118F5" w:rsidRDefault="005130C2" w:rsidP="00BF566D">
            <w:pPr>
              <w:pStyle w:val="a3"/>
              <w:spacing w:before="0" w:beforeAutospacing="0" w:after="0" w:afterAutospacing="0"/>
              <w:jc w:val="both"/>
              <w:rPr>
                <w:rFonts w:ascii="Calibri" w:hAnsi="Calibri"/>
              </w:rPr>
            </w:pP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13041" w:type="dxa"/>
            <w:shd w:val="clear" w:color="auto" w:fill="auto"/>
          </w:tcPr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Осуществление комплекса мер, направленных на проведение консервационных работ на объектах культурного наследия, включая разработку научно-проектной документации.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Осуществление комплекса мер, направленных на приспособление и проведение ремонтно-реставрационных работ на объектах культурного наследия, включая разработку научно-проектной документации.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Осуществление комплекса мер, направленных на проведение ремонтных работ на объектах культурного наследия, включая разработку научно-проектной документации.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Обеспечение физической сохранности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объектов культурного наследия (памятников истории и культуры).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Осуществление комплекса мер, направленных на проведение работ по сохранению объекта археологического наследия.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6. </w:t>
            </w: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Осуществление комплекса мер, направленных на оформление прав собственности на объекты культурного наследия (памятники истории и культуры).</w:t>
            </w:r>
          </w:p>
          <w:p w:rsidR="005130C2" w:rsidRPr="005118F5" w:rsidRDefault="005130C2" w:rsidP="00BF566D">
            <w:pPr>
              <w:pStyle w:val="ConsPlusTitle"/>
              <w:ind w:firstLine="179"/>
              <w:jc w:val="both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7. Организация общественной доступности, восприятия и привлечение внимания к сохранению объектов культурного наследия (памятников истории и культуры).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2C5587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13041" w:type="dxa"/>
            <w:shd w:val="clear" w:color="auto" w:fill="auto"/>
            <w:vAlign w:val="center"/>
          </w:tcPr>
          <w:p w:rsidR="005130C2" w:rsidRPr="002C5587" w:rsidRDefault="005130C2" w:rsidP="00460FD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5587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460FD2" w:rsidRPr="002C5587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C5587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460FD2" w:rsidRPr="002C5587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2C55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13041" w:type="dxa"/>
            <w:shd w:val="clear" w:color="auto" w:fill="auto"/>
          </w:tcPr>
          <w:p w:rsidR="005130C2" w:rsidRPr="002C5587" w:rsidRDefault="005130C2" w:rsidP="00BF566D">
            <w:pPr>
              <w:pStyle w:val="ConsPlusNormal"/>
              <w:ind w:firstLine="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0EEB" w:rsidRPr="002C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60FD2" w:rsidRPr="002C5587">
              <w:rPr>
                <w:rFonts w:ascii="Times New Roman" w:hAnsi="Times New Roman" w:cs="Times New Roman"/>
                <w:sz w:val="24"/>
                <w:szCs w:val="24"/>
              </w:rPr>
              <w:t>23 600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FD2"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460FD2" w:rsidRPr="002C558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460FD2"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– средства муниципального бюджета города Тобольска.</w:t>
            </w:r>
          </w:p>
          <w:p w:rsidR="005130C2" w:rsidRPr="002C5587" w:rsidRDefault="005130C2" w:rsidP="00BF566D">
            <w:pPr>
              <w:pStyle w:val="ConsPlusNormal"/>
              <w:ind w:firstLine="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0EEB" w:rsidRPr="002C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30EEB"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– средства муниципального бюджета города Тобольска.</w:t>
            </w:r>
          </w:p>
          <w:p w:rsidR="005130C2" w:rsidRPr="005118F5" w:rsidRDefault="005130C2" w:rsidP="00460FD2">
            <w:pPr>
              <w:pStyle w:val="ConsPlusNormal"/>
              <w:ind w:firstLine="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0EEB" w:rsidRPr="002C55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30EEB" w:rsidRPr="002C558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2C5587">
              <w:rPr>
                <w:rFonts w:ascii="Times New Roman" w:hAnsi="Times New Roman" w:cs="Times New Roman"/>
                <w:sz w:val="24"/>
                <w:szCs w:val="24"/>
              </w:rPr>
              <w:t>тыс. руб. - средства муниципального бюджета города Тобольска.</w:t>
            </w:r>
            <w:r w:rsidR="00E3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30C2" w:rsidRPr="005118F5" w:rsidTr="00BF566D">
        <w:tc>
          <w:tcPr>
            <w:tcW w:w="2376" w:type="dxa"/>
            <w:shd w:val="clear" w:color="auto" w:fill="auto"/>
            <w:vAlign w:val="center"/>
          </w:tcPr>
          <w:p w:rsidR="005130C2" w:rsidRPr="005118F5" w:rsidRDefault="005130C2" w:rsidP="00BF566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13041" w:type="dxa"/>
            <w:shd w:val="clear" w:color="auto" w:fill="auto"/>
          </w:tcPr>
          <w:p w:rsidR="005130C2" w:rsidRPr="005118F5" w:rsidRDefault="005130C2" w:rsidP="00BF56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Своевременное приостановление доступа к объектам культурного наследия в связи с ухуд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шением их физического состояния, </w:t>
            </w: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предотвращени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 xml:space="preserve"> причинения вреда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объектам культурного наследия, </w:t>
            </w: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поддержание технического состояния объектов культурного наследия до производства ремонтно-реставрационных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30C2" w:rsidRPr="005118F5" w:rsidRDefault="005130C2" w:rsidP="00BF566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Вовлечение объектов культурного наследия в хозяйственных оборот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proofErr w:type="gramEnd"/>
          </w:p>
          <w:p w:rsidR="005130C2" w:rsidRPr="005118F5" w:rsidRDefault="005130C2" w:rsidP="00BF566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>Недопущение ухудшения технического состояния используемых объектов культурного наследия</w:t>
            </w:r>
            <w:r w:rsidRPr="005118F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5130C2" w:rsidRPr="005118F5" w:rsidRDefault="005130C2" w:rsidP="00BF566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привлекательности объектов культурного для инвесторов и повышение уровня вовлеченности населения в вопросы сохранения объектов культурного наследия. </w:t>
            </w:r>
          </w:p>
          <w:p w:rsidR="005130C2" w:rsidRPr="005118F5" w:rsidRDefault="005130C2" w:rsidP="00BF566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18F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Достижение результатов программы обеспечивается при наличии финансирования. </w:t>
            </w:r>
          </w:p>
        </w:tc>
      </w:tr>
    </w:tbl>
    <w:p w:rsidR="005130C2" w:rsidRDefault="005130C2" w:rsidP="005130C2">
      <w:pPr>
        <w:pStyle w:val="ConsPlusTitle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2C78" w:rsidRDefault="009D2C78"/>
    <w:sectPr w:rsidR="009D2C78" w:rsidSect="005130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C2"/>
    <w:rsid w:val="002C5587"/>
    <w:rsid w:val="00423687"/>
    <w:rsid w:val="00460FD2"/>
    <w:rsid w:val="005130C2"/>
    <w:rsid w:val="009D2C78"/>
    <w:rsid w:val="00DF33E4"/>
    <w:rsid w:val="00E30EEB"/>
    <w:rsid w:val="00EB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0C2"/>
    <w:pPr>
      <w:spacing w:before="100" w:beforeAutospacing="1" w:after="100" w:afterAutospacing="1"/>
    </w:pPr>
  </w:style>
  <w:style w:type="paragraph" w:customStyle="1" w:styleId="ConsPlusTitle">
    <w:name w:val="ConsPlusTitle"/>
    <w:rsid w:val="00513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3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0C2"/>
    <w:pPr>
      <w:spacing w:before="100" w:beforeAutospacing="1" w:after="100" w:afterAutospacing="1"/>
    </w:pPr>
  </w:style>
  <w:style w:type="paragraph" w:customStyle="1" w:styleId="ConsPlusTitle">
    <w:name w:val="ConsPlusTitle"/>
    <w:rsid w:val="00513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3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Анатольевна. Глубоковских</dc:creator>
  <cp:lastModifiedBy>User2</cp:lastModifiedBy>
  <cp:revision>6</cp:revision>
  <cp:lastPrinted>2020-11-16T10:54:00Z</cp:lastPrinted>
  <dcterms:created xsi:type="dcterms:W3CDTF">2020-11-06T07:47:00Z</dcterms:created>
  <dcterms:modified xsi:type="dcterms:W3CDTF">2020-11-16T10:54:00Z</dcterms:modified>
</cp:coreProperties>
</file>