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  <w:szCs w:val="28"/>
        </w:rPr>
        <w:t>Информация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О результатах проведенных проверок выполнения органами местного самоуправления требований, установленных Федеральным законом от 05.04. 2013 № 44-ФЗ «О контрактной системе в сфере закупок товаров, работ, услуг для обеспечения государственных и муниципальных нужд» за 2018 год.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утвержденным планом проведения проверок по соблюдению требований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 Комитет финансов администрации города Тобольска осуществляет контроль в сфере закупок на основании  части </w:t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, пункт </w:t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; части 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статьи </w:t>
      </w:r>
      <w:r>
        <w:rPr>
          <w:b/>
          <w:sz w:val="28"/>
          <w:szCs w:val="28"/>
        </w:rPr>
        <w:t>99</w:t>
      </w:r>
      <w:r>
        <w:rPr>
          <w:sz w:val="28"/>
          <w:szCs w:val="28"/>
        </w:rPr>
        <w:t xml:space="preserve"> .</w:t>
      </w:r>
    </w:p>
    <w:p>
      <w:pPr>
        <w:pStyle w:val="NormalWeb"/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утвержденным планом проведения проверок по соблюдению требований Федерального закона № 44-ФЗ в 2018г. проведено </w:t>
      </w:r>
      <w:r>
        <w:rPr>
          <w:b/>
          <w:sz w:val="28"/>
          <w:szCs w:val="28"/>
        </w:rPr>
        <w:t>12</w:t>
      </w:r>
      <w:r>
        <w:rPr>
          <w:sz w:val="28"/>
          <w:szCs w:val="28"/>
        </w:rPr>
        <w:t xml:space="preserve"> плановых проверок муниципальных заказчиков города Тобольска. Выявлено </w:t>
      </w:r>
      <w:r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случая, содержащих признаки административного правонарушения, за совершение которых предусмотрена административная ответственность, акты проверок направлены на рассмотрение и принятия соответствующего решения, в Комитет по контролю в сфере закупок Тюменской области. По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Заказчикам принято решение о привлечении должностных лиц к административной ответственности.</w:t>
      </w:r>
    </w:p>
    <w:p>
      <w:pPr>
        <w:pStyle w:val="NormalWeb"/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 году в Комитет от участников закупок жалоб не поступало. Информации о нарушении законодательства о контрактной системе в сфере закупок в 2018 году не поступало. Внеплановые проверки не проводились.</w:t>
      </w:r>
    </w:p>
    <w:p>
      <w:pPr>
        <w:pStyle w:val="NormalWeb"/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в Комитет поступило и рассмотрено: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>
        <w:rPr>
          <w:sz w:val="28"/>
          <w:szCs w:val="28"/>
        </w:rPr>
        <w:t xml:space="preserve"> обращений заказчиков о согласовании возможности заключения контракта с единственным поставщиком (подрядчиком, исполнителем) в случаях, предусмотренных законодательством;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>
          <w:b/>
          <w:sz w:val="28"/>
          <w:szCs w:val="28"/>
        </w:rPr>
        <w:t>23</w:t>
      </w:r>
      <w:r>
        <w:rPr>
          <w:sz w:val="28"/>
          <w:szCs w:val="28"/>
        </w:rPr>
        <w:t xml:space="preserve"> уведомления от заказчиков о заключении контрактов с единственным поставщиком (подрядчиком, исполнителем) в соответствии с пунктами </w:t>
      </w:r>
      <w:r>
        <w:rPr>
          <w:b/>
          <w:sz w:val="28"/>
          <w:szCs w:val="28"/>
        </w:rPr>
        <w:t xml:space="preserve">6 </w:t>
      </w:r>
      <w:r>
        <w:rPr>
          <w:sz w:val="28"/>
          <w:szCs w:val="28"/>
        </w:rPr>
        <w:t xml:space="preserve">и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части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статьи </w:t>
      </w:r>
      <w:r>
        <w:rPr>
          <w:b/>
          <w:sz w:val="28"/>
          <w:szCs w:val="28"/>
        </w:rPr>
        <w:t>93</w:t>
      </w:r>
      <w:r>
        <w:rPr>
          <w:sz w:val="28"/>
          <w:szCs w:val="28"/>
        </w:rPr>
        <w:t xml:space="preserve"> Федерального закона № 44-ФЗ.</w:t>
      </w:r>
    </w:p>
    <w:p>
      <w:pPr>
        <w:pStyle w:val="Normal"/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 города Тобольска № 1174 от 26.06.2018 утвержден «Порядок осуществления полномочий по внутреннему муниципальному финансовому контролю».</w:t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/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ind w:left="0" w:right="0"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>
      <w:pPr>
        <w:pStyle w:val="Normal"/>
        <w:ind w:left="0" w:right="0" w:firstLine="708"/>
        <w:jc w:val="center"/>
        <w:rPr/>
      </w:pPr>
      <w:r>
        <w:rPr>
          <w:b/>
          <w:sz w:val="28"/>
          <w:szCs w:val="28"/>
        </w:rPr>
        <w:t>О результатах проведенных проверок органом внутреннего финансового муниципального контроля за 2018 год.</w:t>
      </w:r>
    </w:p>
    <w:p>
      <w:pPr>
        <w:pStyle w:val="Normal"/>
        <w:ind w:left="0" w:right="0" w:firstLine="708"/>
        <w:jc w:val="center"/>
        <w:rPr>
          <w:b/>
          <w:b/>
          <w:sz w:val="28"/>
          <w:szCs w:val="28"/>
        </w:rPr>
      </w:pPr>
      <w:r>
        <w:rPr/>
      </w:r>
    </w:p>
    <w:p>
      <w:pPr>
        <w:pStyle w:val="Normal"/>
        <w:ind w:left="0" w:right="0" w:firstLine="708"/>
        <w:jc w:val="center"/>
        <w:rPr>
          <w:b/>
          <w:b/>
          <w:sz w:val="28"/>
          <w:szCs w:val="28"/>
        </w:rPr>
      </w:pPr>
      <w:r>
        <w:rPr/>
      </w:r>
    </w:p>
    <w:p>
      <w:pPr>
        <w:pStyle w:val="Normal"/>
        <w:ind w:left="0" w:right="0" w:firstLine="708"/>
        <w:jc w:val="both"/>
        <w:rPr/>
      </w:pPr>
      <w:r>
        <w:rPr>
          <w:sz w:val="28"/>
          <w:szCs w:val="28"/>
        </w:rPr>
        <w:t xml:space="preserve">В соответствии с утвержденным планом проведения проверок по осуществлению полномочий по внутреннему муниципальному финансовому контролю Комитетом финансов администрации города Тобольска проведено </w:t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проверки выполнения натуральных показателей муниципального задания МАУ ДО «Детская школа искусств имени А.А. Алябьева», МАОУ «Средняя общеобразовательная школа № 13», МБУ «Муниципальный архив г.Тобольска» и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проверка исполнения держателем инвестиционного проекта  ООО «ЗапСибНефтехим» п.1.6. Порядка предоставления субсидий держателем инвестиционных проектов г.Тобольска, утвержденного распоряжением администрации г.Тобольска от 05.05.2010г.№ 780. Общая  сумма проверенных средств составила </w:t>
      </w:r>
      <w:r>
        <w:rPr>
          <w:b/>
          <w:sz w:val="28"/>
          <w:szCs w:val="28"/>
        </w:rPr>
        <w:t>10 008 163, 55 тыс.руб.</w:t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проверок нарушений не установлено.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Raavi"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82263"/>
    <w:pPr>
      <w:widowControl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Гипертекстовая ссылка"/>
    <w:basedOn w:val="DefaultParagraphFont"/>
    <w:uiPriority w:val="99"/>
    <w:qFormat/>
    <w:rsid w:val="00f2510a"/>
    <w:rPr>
      <w:rFonts w:cs="Times New Roman"/>
      <w:color w:val="106BBE"/>
    </w:rPr>
  </w:style>
  <w:style w:type="character" w:styleId="Note21" w:customStyle="1">
    <w:name w:val="note21"/>
    <w:basedOn w:val="DefaultParagraphFont"/>
    <w:qFormat/>
    <w:rsid w:val="00ed455d"/>
    <w:rPr/>
  </w:style>
  <w:style w:type="character" w:styleId="Date3" w:customStyle="1">
    <w:name w:val="date3"/>
    <w:basedOn w:val="DefaultParagraphFont"/>
    <w:qFormat/>
    <w:rsid w:val="00ed455d"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3">
    <w:name w:val="Основной текст (3) + Не полужирный"/>
    <w:basedOn w:val="31"/>
    <w:qFormat/>
    <w:rPr/>
  </w:style>
  <w:style w:type="character" w:styleId="31">
    <w:name w:val="Основной текст (3)_"/>
    <w:qFormat/>
    <w:rPr>
      <w:b/>
      <w:bCs/>
      <w:sz w:val="26"/>
      <w:szCs w:val="26"/>
      <w:lang w:bidi="ar-SA"/>
    </w:rPr>
  </w:style>
  <w:style w:type="character" w:styleId="Style15">
    <w:name w:val="Нижний колонтитул Знак"/>
    <w:qFormat/>
    <w:rPr>
      <w:lang w:val="ru-RU" w:bidi="ar-SA"/>
    </w:rPr>
  </w:style>
  <w:style w:type="character" w:styleId="1">
    <w:name w:val="Основной шрифт абзаца1"/>
    <w:qFormat/>
    <w:rPr/>
  </w:style>
  <w:style w:type="character" w:styleId="WW8Num1z3">
    <w:name w:val="WW8Num1z3"/>
    <w:qFormat/>
    <w:rPr>
      <w:rFonts w:ascii="Symbol" w:hAnsi="Symbol" w:cs="Symbol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0">
    <w:name w:val="WW8Num1z0"/>
    <w:qFormat/>
    <w:rPr>
      <w:rFonts w:ascii="Raavi" w:hAnsi="Raavi" w:cs="Raavi"/>
    </w:rPr>
  </w:style>
  <w:style w:type="character" w:styleId="2">
    <w:name w:val="Основной шрифт абзаца2"/>
    <w:qFormat/>
    <w:rPr/>
  </w:style>
  <w:style w:type="character" w:styleId="32">
    <w:name w:val="Основной шрифт абзаца3"/>
    <w:qFormat/>
    <w:rPr/>
  </w:style>
  <w:style w:type="character" w:styleId="Style16">
    <w:name w:val="Основной шрифт абзаца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 w:customStyle="1">
    <w:name w:val="Знак"/>
    <w:basedOn w:val="Normal"/>
    <w:uiPriority w:val="99"/>
    <w:qFormat/>
    <w:rsid w:val="003e18ba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11" w:customStyle="1">
    <w:name w:val="Знак1"/>
    <w:basedOn w:val="Normal"/>
    <w:uiPriority w:val="99"/>
    <w:qFormat/>
    <w:rsid w:val="003d692f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ConsPlusNormal" w:customStyle="1">
    <w:name w:val="ConsPlusNormal"/>
    <w:uiPriority w:val="99"/>
    <w:qFormat/>
    <w:rsid w:val="00436eba"/>
    <w:pPr>
      <w:widowControl w:val="false"/>
      <w:kinsoku w:val="true"/>
      <w:overflowPunct w:val="true"/>
      <w:autoSpaceDE w:val="true"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21" w:customStyle="1">
    <w:name w:val="Знак2"/>
    <w:basedOn w:val="Normal"/>
    <w:uiPriority w:val="99"/>
    <w:qFormat/>
    <w:rsid w:val="00205f71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unhideWhenUsed/>
    <w:qFormat/>
    <w:rsid w:val="00ed455d"/>
    <w:pPr>
      <w:spacing w:beforeAutospacing="1" w:afterAutospacing="1"/>
    </w:pPr>
    <w:rPr/>
  </w:style>
  <w:style w:type="paragraph" w:styleId="33">
    <w:name w:val="Основной текст (3)"/>
    <w:basedOn w:val="Normal"/>
    <w:qFormat/>
    <w:pPr>
      <w:widowControl w:val="false"/>
      <w:spacing w:lineRule="exact" w:line="314" w:before="240" w:after="0"/>
      <w:jc w:val="both"/>
    </w:pPr>
    <w:rPr>
      <w:b/>
      <w:bCs/>
      <w:sz w:val="26"/>
      <w:szCs w:val="26"/>
      <w:lang w:val="ru-RU" w:eastAsia="ru-RU"/>
    </w:rPr>
  </w:style>
  <w:style w:type="paragraph" w:styleId="Style23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Style24">
    <w:name w:val=" Знак"/>
    <w:basedOn w:val="Normal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12">
    <w:name w:val="Указатель1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Mangal"/>
    </w:rPr>
  </w:style>
  <w:style w:type="paragraph" w:styleId="23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4">
    <w:name w:val="Указатель3"/>
    <w:basedOn w:val="Normal"/>
    <w:qFormat/>
    <w:pPr>
      <w:suppressLineNumbers/>
    </w:pPr>
    <w:rPr>
      <w:rFonts w:cs="Mangal"/>
    </w:rPr>
  </w:style>
  <w:style w:type="paragraph" w:styleId="Style25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LibreOffice/6.1.3.2$Windows_x86 LibreOffice_project/86daf60bf00efa86ad547e59e09d6bb77c699acb</Application>
  <Pages>2</Pages>
  <Words>354</Words>
  <Characters>2540</Characters>
  <CharactersWithSpaces>2884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2018-12-24T10:51:00Z</dcterms:created>
  <dc:creator>Скульских</dc:creator>
  <dc:description/>
  <dc:language>ru-RU</dc:language>
  <cp:lastModifiedBy/>
  <cp:lastPrinted>2018-07-05T04:27:00Z</cp:lastPrinted>
  <dcterms:modified xsi:type="dcterms:W3CDTF">2018-12-26T09:58:52Z</dcterms:modified>
  <cp:revision>6</cp:revision>
  <dc:subject/>
  <dc:title>Информация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