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918" w:rsidRDefault="00001918" w:rsidP="00001918">
      <w:pPr>
        <w:jc w:val="center"/>
        <w:rPr>
          <w:b/>
          <w:sz w:val="28"/>
          <w:szCs w:val="28"/>
        </w:rPr>
      </w:pPr>
      <w:r>
        <w:rPr>
          <w:b/>
          <w:sz w:val="28"/>
          <w:szCs w:val="28"/>
        </w:rPr>
        <w:t>ПОЯСНИТЕЛЬНАЯ ЗАПИСКА</w:t>
      </w:r>
    </w:p>
    <w:p w:rsidR="00001918" w:rsidRDefault="00001918" w:rsidP="00001918">
      <w:pPr>
        <w:jc w:val="both"/>
        <w:rPr>
          <w:b/>
          <w:sz w:val="28"/>
          <w:szCs w:val="28"/>
        </w:rPr>
      </w:pPr>
      <w:r>
        <w:rPr>
          <w:b/>
          <w:sz w:val="28"/>
          <w:szCs w:val="28"/>
        </w:rPr>
        <w:tab/>
      </w:r>
    </w:p>
    <w:p w:rsidR="00001918" w:rsidRDefault="00001918" w:rsidP="00001918">
      <w:pPr>
        <w:shd w:val="clear" w:color="auto" w:fill="FFFFFF"/>
        <w:jc w:val="center"/>
        <w:rPr>
          <w:sz w:val="28"/>
          <w:szCs w:val="28"/>
        </w:rPr>
      </w:pPr>
    </w:p>
    <w:p w:rsidR="00001918" w:rsidRDefault="00001918" w:rsidP="00001918">
      <w:pPr>
        <w:jc w:val="both"/>
        <w:rPr>
          <w:sz w:val="28"/>
          <w:szCs w:val="28"/>
        </w:rPr>
      </w:pPr>
      <w:r>
        <w:rPr>
          <w:sz w:val="28"/>
          <w:szCs w:val="28"/>
        </w:rPr>
        <w:tab/>
        <w:t>В соответствии с постановлением Администрации города Тобольска от 17.03.2020 № 14-пк «Об утверждении порядка разработки, утверждения, реализации и оценки эффективности муниципальных программ города Тобольска» внесение изменений в любой из разделов муниципальной программы осуществляется по инициативе Разработчика (Участника) с особенностями, установленными настоящим Порядком, и утверждается распоряжением Администрации города Тобольска.</w:t>
      </w:r>
    </w:p>
    <w:p w:rsidR="00001918" w:rsidRDefault="00001918" w:rsidP="00001918">
      <w:pPr>
        <w:jc w:val="both"/>
        <w:rPr>
          <w:sz w:val="28"/>
          <w:szCs w:val="28"/>
        </w:rPr>
      </w:pPr>
      <w:r w:rsidRPr="00373FDC">
        <w:rPr>
          <w:sz w:val="28"/>
          <w:szCs w:val="28"/>
        </w:rPr>
        <w:tab/>
        <w:t>В связи с принятием решения</w:t>
      </w:r>
      <w:r>
        <w:rPr>
          <w:sz w:val="28"/>
          <w:szCs w:val="28"/>
        </w:rPr>
        <w:t xml:space="preserve"> Тобольской городской Думы</w:t>
      </w:r>
      <w:r w:rsidRPr="00373FDC">
        <w:rPr>
          <w:sz w:val="28"/>
          <w:szCs w:val="28"/>
        </w:rPr>
        <w:t xml:space="preserve"> от 27.10.2020 № 14 «О внесении изменений в решение городской Думы от 29.11.2019 № 164 «О бюджете города Тобольска на 2020 год и на плановый период 2021 и 2022 годов», Разработчиком </w:t>
      </w:r>
      <w:r>
        <w:rPr>
          <w:sz w:val="28"/>
          <w:szCs w:val="28"/>
        </w:rPr>
        <w:t>в обязательном порядке осуществляется внесение изменений в муниципальную программу.</w:t>
      </w:r>
    </w:p>
    <w:p w:rsidR="00001918" w:rsidRPr="00484340" w:rsidRDefault="00001918" w:rsidP="00001918">
      <w:pPr>
        <w:suppressAutoHyphens/>
        <w:autoSpaceDN w:val="0"/>
        <w:ind w:firstLine="709"/>
        <w:jc w:val="both"/>
        <w:textAlignment w:val="baseline"/>
        <w:rPr>
          <w:rFonts w:ascii="Liberation Serif" w:eastAsia="SimSun" w:hAnsi="Liberation Serif" w:cs="Mangal"/>
          <w:kern w:val="3"/>
          <w:sz w:val="24"/>
          <w:szCs w:val="24"/>
          <w:lang w:eastAsia="zh-CN" w:bidi="hi-IN"/>
        </w:rPr>
      </w:pPr>
      <w:proofErr w:type="gramStart"/>
      <w:r>
        <w:rPr>
          <w:rFonts w:eastAsia="SimSun" w:cs="Mangal"/>
          <w:kern w:val="3"/>
          <w:sz w:val="28"/>
          <w:szCs w:val="28"/>
          <w:lang w:eastAsia="zh-CN" w:bidi="hi-IN"/>
        </w:rPr>
        <w:t xml:space="preserve">Кроме того, </w:t>
      </w:r>
      <w:r w:rsidRPr="00484340">
        <w:rPr>
          <w:rFonts w:eastAsia="SimSun" w:cs="Mangal"/>
          <w:kern w:val="3"/>
          <w:sz w:val="28"/>
          <w:szCs w:val="28"/>
          <w:lang w:eastAsia="zh-CN" w:bidi="hi-IN"/>
        </w:rPr>
        <w:t>Распоряжением Правительства Тюменской области от 05.11.2020 №</w:t>
      </w:r>
      <w:r>
        <w:rPr>
          <w:rFonts w:eastAsia="SimSun" w:cs="Mangal"/>
          <w:kern w:val="3"/>
          <w:sz w:val="28"/>
          <w:szCs w:val="28"/>
          <w:lang w:eastAsia="zh-CN" w:bidi="hi-IN"/>
        </w:rPr>
        <w:t xml:space="preserve"> </w:t>
      </w:r>
      <w:r w:rsidRPr="00484340">
        <w:rPr>
          <w:rFonts w:eastAsia="SimSun" w:cs="Mangal"/>
          <w:kern w:val="3"/>
          <w:sz w:val="28"/>
          <w:szCs w:val="28"/>
          <w:lang w:eastAsia="zh-CN" w:bidi="hi-IN"/>
        </w:rPr>
        <w:t>885-рп  в  региональную адресную программу по переселению граждан из аварийного жилищного фонда Тюменской области на 2019-2023 годы, утвержденную распоряжением Правительства Тюменской</w:t>
      </w:r>
      <w:r w:rsidRPr="00484340">
        <w:rPr>
          <w:rFonts w:eastAsia="SimSun" w:cs="Mangal"/>
          <w:color w:val="000000"/>
          <w:kern w:val="3"/>
          <w:sz w:val="28"/>
          <w:szCs w:val="28"/>
          <w:lang w:eastAsia="zh-CN" w:bidi="hi-IN"/>
        </w:rPr>
        <w:t xml:space="preserve"> области от 21.03.2019 №</w:t>
      </w:r>
      <w:r>
        <w:rPr>
          <w:rFonts w:eastAsia="SimSun" w:cs="Mangal"/>
          <w:color w:val="000000"/>
          <w:kern w:val="3"/>
          <w:sz w:val="28"/>
          <w:szCs w:val="28"/>
          <w:lang w:eastAsia="zh-CN" w:bidi="hi-IN"/>
        </w:rPr>
        <w:t xml:space="preserve"> </w:t>
      </w:r>
      <w:r w:rsidRPr="00484340">
        <w:rPr>
          <w:rFonts w:eastAsia="SimSun" w:cs="Mangal"/>
          <w:color w:val="000000"/>
          <w:kern w:val="3"/>
          <w:sz w:val="28"/>
          <w:szCs w:val="28"/>
          <w:lang w:eastAsia="zh-CN" w:bidi="hi-IN"/>
        </w:rPr>
        <w:t xml:space="preserve">276-рп </w:t>
      </w:r>
      <w:r w:rsidRPr="00484340">
        <w:rPr>
          <w:rFonts w:eastAsia="SimSun" w:cs="Mangal"/>
          <w:kern w:val="3"/>
          <w:sz w:val="28"/>
          <w:szCs w:val="28"/>
          <w:lang w:eastAsia="zh-CN" w:bidi="hi-IN"/>
        </w:rPr>
        <w:t xml:space="preserve">внесены изменения, в том числе в части срока реализации программы, предусмотренного финансирования, общей площади жилых помещений подлежащих расселению и количества переселяемых граждан. </w:t>
      </w:r>
      <w:r w:rsidRPr="00484340">
        <w:rPr>
          <w:rFonts w:eastAsia="SimSun" w:cs="Mangal"/>
          <w:kern w:val="3"/>
          <w:sz w:val="28"/>
          <w:szCs w:val="28"/>
          <w:lang w:eastAsia="zh-CN" w:bidi="hi-IN"/>
        </w:rPr>
        <w:tab/>
      </w:r>
      <w:proofErr w:type="gramEnd"/>
    </w:p>
    <w:p w:rsidR="00001918" w:rsidRPr="00484340" w:rsidRDefault="00001918" w:rsidP="00001918">
      <w:pPr>
        <w:suppressAutoHyphens/>
        <w:autoSpaceDN w:val="0"/>
        <w:jc w:val="both"/>
        <w:textAlignment w:val="baseline"/>
        <w:rPr>
          <w:rFonts w:ascii="Liberation Serif" w:eastAsia="SimSun" w:hAnsi="Liberation Serif" w:cs="Mangal"/>
          <w:kern w:val="3"/>
          <w:sz w:val="24"/>
          <w:szCs w:val="24"/>
          <w:lang w:eastAsia="zh-CN" w:bidi="hi-IN"/>
        </w:rPr>
      </w:pPr>
      <w:r w:rsidRPr="00484340">
        <w:rPr>
          <w:rFonts w:eastAsia="SimSun" w:cs="Mangal"/>
          <w:kern w:val="3"/>
          <w:sz w:val="28"/>
          <w:szCs w:val="28"/>
          <w:lang w:eastAsia="zh-CN" w:bidi="hi-IN"/>
        </w:rPr>
        <w:tab/>
      </w:r>
      <w:proofErr w:type="gramStart"/>
      <w:r w:rsidRPr="00484340">
        <w:rPr>
          <w:rFonts w:eastAsia="SimSun" w:cs="Mangal"/>
          <w:kern w:val="3"/>
          <w:sz w:val="28"/>
          <w:szCs w:val="28"/>
          <w:lang w:eastAsia="zh-CN" w:bidi="hi-IN"/>
        </w:rPr>
        <w:t>Распоряжением Правительства Тюменской области от 05.11.2020 №</w:t>
      </w:r>
      <w:r>
        <w:rPr>
          <w:rFonts w:eastAsia="SimSun" w:cs="Mangal"/>
          <w:kern w:val="3"/>
          <w:sz w:val="28"/>
          <w:szCs w:val="28"/>
          <w:lang w:eastAsia="zh-CN" w:bidi="hi-IN"/>
        </w:rPr>
        <w:t xml:space="preserve"> </w:t>
      </w:r>
      <w:r w:rsidRPr="00484340">
        <w:rPr>
          <w:rFonts w:eastAsia="SimSun" w:cs="Mangal"/>
          <w:kern w:val="3"/>
          <w:sz w:val="28"/>
          <w:szCs w:val="28"/>
          <w:lang w:eastAsia="zh-CN" w:bidi="hi-IN"/>
        </w:rPr>
        <w:t>886-рп в п</w:t>
      </w:r>
      <w:r w:rsidRPr="00484340">
        <w:rPr>
          <w:rFonts w:eastAsia="SimSun" w:cs="Arial"/>
          <w:kern w:val="3"/>
          <w:sz w:val="28"/>
          <w:szCs w:val="28"/>
          <w:lang w:eastAsia="zh-CN" w:bidi="hi-IN"/>
        </w:rPr>
        <w:t xml:space="preserve">рограмму по переселению </w:t>
      </w:r>
      <w:r w:rsidRPr="00484340">
        <w:rPr>
          <w:rFonts w:eastAsia="SimSun" w:cs="Arial"/>
          <w:color w:val="000000"/>
          <w:kern w:val="3"/>
          <w:sz w:val="28"/>
          <w:szCs w:val="28"/>
          <w:lang w:eastAsia="zh-CN" w:bidi="hi-IN"/>
        </w:rPr>
        <w:t>граждан из жилых домов блокированной застройки, признанных аварийными до 01.01.2017, многоквартирных домов, признанных аварийными до 01.01.2017 по причинам, не связанным с физическим износом в процессе эксплуатации</w:t>
      </w:r>
      <w:r w:rsidRPr="00484340">
        <w:rPr>
          <w:rFonts w:eastAsia="SimSun" w:cs="Mangal"/>
          <w:kern w:val="3"/>
          <w:sz w:val="28"/>
          <w:szCs w:val="28"/>
          <w:lang w:eastAsia="zh-CN" w:bidi="hi-IN"/>
        </w:rPr>
        <w:t>», утвержденную распоряжением Правительства Тюменской</w:t>
      </w:r>
      <w:r w:rsidRPr="00484340">
        <w:rPr>
          <w:rFonts w:eastAsia="SimSun" w:cs="Mangal"/>
          <w:color w:val="000000"/>
          <w:kern w:val="3"/>
          <w:sz w:val="28"/>
          <w:szCs w:val="28"/>
          <w:lang w:eastAsia="zh-CN" w:bidi="hi-IN"/>
        </w:rPr>
        <w:t xml:space="preserve"> области от 02.08.2019 №</w:t>
      </w:r>
      <w:r>
        <w:rPr>
          <w:rFonts w:eastAsia="SimSun" w:cs="Mangal"/>
          <w:color w:val="000000"/>
          <w:kern w:val="3"/>
          <w:sz w:val="28"/>
          <w:szCs w:val="28"/>
          <w:lang w:eastAsia="zh-CN" w:bidi="hi-IN"/>
        </w:rPr>
        <w:t xml:space="preserve"> </w:t>
      </w:r>
      <w:r w:rsidRPr="00484340">
        <w:rPr>
          <w:rFonts w:eastAsia="SimSun" w:cs="Mangal"/>
          <w:color w:val="000000"/>
          <w:kern w:val="3"/>
          <w:sz w:val="28"/>
          <w:szCs w:val="28"/>
          <w:lang w:eastAsia="zh-CN" w:bidi="hi-IN"/>
        </w:rPr>
        <w:t xml:space="preserve">937-рп </w:t>
      </w:r>
      <w:r w:rsidRPr="00484340">
        <w:rPr>
          <w:rFonts w:eastAsia="SimSun" w:cs="Mangal"/>
          <w:kern w:val="3"/>
          <w:sz w:val="28"/>
          <w:szCs w:val="28"/>
          <w:lang w:eastAsia="zh-CN" w:bidi="hi-IN"/>
        </w:rPr>
        <w:t>внесены изменения, в том числе в части срока реализации программы, предусмотренного финансирования, общей площади жилых</w:t>
      </w:r>
      <w:proofErr w:type="gramEnd"/>
      <w:r w:rsidRPr="00484340">
        <w:rPr>
          <w:rFonts w:eastAsia="SimSun" w:cs="Mangal"/>
          <w:kern w:val="3"/>
          <w:sz w:val="28"/>
          <w:szCs w:val="28"/>
          <w:lang w:eastAsia="zh-CN" w:bidi="hi-IN"/>
        </w:rPr>
        <w:t xml:space="preserve"> помещений подлежащих расселению и количества переселяемых граждан.</w:t>
      </w:r>
    </w:p>
    <w:p w:rsidR="00001918" w:rsidRPr="00484340" w:rsidRDefault="00001918" w:rsidP="00001918">
      <w:pPr>
        <w:suppressAutoHyphens/>
        <w:autoSpaceDN w:val="0"/>
        <w:jc w:val="both"/>
        <w:textAlignment w:val="baseline"/>
        <w:rPr>
          <w:rFonts w:ascii="Liberation Serif" w:eastAsia="SimSun" w:hAnsi="Liberation Serif" w:cs="Mangal"/>
          <w:kern w:val="3"/>
          <w:sz w:val="24"/>
          <w:szCs w:val="24"/>
          <w:lang w:eastAsia="zh-CN" w:bidi="hi-IN"/>
        </w:rPr>
      </w:pPr>
      <w:r w:rsidRPr="00484340">
        <w:rPr>
          <w:rFonts w:eastAsia="SimSun" w:cs="Mangal"/>
          <w:kern w:val="3"/>
          <w:sz w:val="28"/>
          <w:szCs w:val="28"/>
          <w:lang w:eastAsia="zh-CN" w:bidi="hi-IN"/>
        </w:rPr>
        <w:tab/>
        <w:t xml:space="preserve">На реализацию мероприятия по приобретению жилых помещений для предоставления гражданам, состоящим на учете в качестве нуждающихся в жилых помещениях, во внеочередном порядке, в бюджете города на 2020 год было запланировано финансирование в размере 28 448,000 тыс. руб. Бюджетные ассигнования в 2020 году </w:t>
      </w:r>
      <w:proofErr w:type="spellStart"/>
      <w:r w:rsidRPr="00484340">
        <w:rPr>
          <w:rFonts w:eastAsia="SimSun" w:cs="Mangal"/>
          <w:kern w:val="3"/>
          <w:sz w:val="28"/>
          <w:szCs w:val="28"/>
          <w:lang w:eastAsia="zh-CN" w:bidi="hi-IN"/>
        </w:rPr>
        <w:t>секвестированы</w:t>
      </w:r>
      <w:proofErr w:type="spellEnd"/>
      <w:r w:rsidRPr="00484340">
        <w:rPr>
          <w:rFonts w:eastAsia="SimSun" w:cs="Mangal"/>
          <w:kern w:val="3"/>
          <w:sz w:val="28"/>
          <w:szCs w:val="28"/>
          <w:lang w:eastAsia="zh-CN" w:bidi="hi-IN"/>
        </w:rPr>
        <w:t>.</w:t>
      </w:r>
    </w:p>
    <w:p w:rsidR="00001918" w:rsidRPr="00484340" w:rsidRDefault="00001918" w:rsidP="00001918">
      <w:pPr>
        <w:suppressAutoHyphens/>
        <w:autoSpaceDN w:val="0"/>
        <w:jc w:val="both"/>
        <w:textAlignment w:val="baseline"/>
        <w:rPr>
          <w:rFonts w:ascii="Liberation Serif" w:eastAsia="SimSun" w:hAnsi="Liberation Serif" w:cs="Mangal"/>
          <w:kern w:val="3"/>
          <w:sz w:val="24"/>
          <w:szCs w:val="24"/>
          <w:lang w:eastAsia="zh-CN" w:bidi="hi-IN"/>
        </w:rPr>
      </w:pPr>
      <w:r w:rsidRPr="00484340">
        <w:rPr>
          <w:rFonts w:eastAsia="SimSun" w:cs="Mangal"/>
          <w:kern w:val="3"/>
          <w:sz w:val="28"/>
          <w:szCs w:val="28"/>
          <w:lang w:eastAsia="zh-CN" w:bidi="hi-IN"/>
        </w:rPr>
        <w:tab/>
        <w:t>Достижение плановых значений показателя результативности реализации муниципальной программы планируется за счет предоставления гражданам жилых помещений муниципального жилищного фонда по договору социального найма из освободившихся помещений муниципального жилищного фонда (при условии их наличия), а также в рамках исполнения решений суда.</w:t>
      </w:r>
    </w:p>
    <w:p w:rsidR="00001918" w:rsidRDefault="00001918" w:rsidP="00001918">
      <w:pPr>
        <w:ind w:firstLine="709"/>
        <w:jc w:val="both"/>
        <w:rPr>
          <w:sz w:val="28"/>
          <w:szCs w:val="28"/>
        </w:rPr>
      </w:pPr>
      <w:r>
        <w:rPr>
          <w:sz w:val="28"/>
          <w:szCs w:val="28"/>
        </w:rPr>
        <w:lastRenderedPageBreak/>
        <w:t>Своевременная корректировка муниципальной программы влияет на оценку эффективности реализации муниципальной программы за 2020 год, которая производится по следующим критериям:</w:t>
      </w:r>
    </w:p>
    <w:p w:rsidR="00001918" w:rsidRDefault="00001918" w:rsidP="00001918">
      <w:pPr>
        <w:ind w:firstLine="709"/>
        <w:jc w:val="both"/>
        <w:rPr>
          <w:sz w:val="28"/>
          <w:szCs w:val="28"/>
        </w:rPr>
      </w:pPr>
      <w:r>
        <w:rPr>
          <w:sz w:val="28"/>
          <w:szCs w:val="28"/>
        </w:rPr>
        <w:t>- достижение плановых значений показателей результативности;</w:t>
      </w:r>
    </w:p>
    <w:p w:rsidR="00001918" w:rsidRDefault="00001918" w:rsidP="00001918">
      <w:pPr>
        <w:ind w:firstLine="709"/>
        <w:jc w:val="both"/>
        <w:rPr>
          <w:sz w:val="28"/>
          <w:szCs w:val="28"/>
        </w:rPr>
      </w:pPr>
      <w:r>
        <w:rPr>
          <w:sz w:val="28"/>
          <w:szCs w:val="28"/>
        </w:rPr>
        <w:t>- соблюдение запланированных сроков реализации мероприятий;</w:t>
      </w:r>
    </w:p>
    <w:p w:rsidR="00001918" w:rsidRDefault="00001918" w:rsidP="00001918">
      <w:pPr>
        <w:ind w:firstLine="709"/>
        <w:jc w:val="both"/>
        <w:rPr>
          <w:sz w:val="28"/>
          <w:szCs w:val="28"/>
        </w:rPr>
      </w:pPr>
      <w:r>
        <w:rPr>
          <w:sz w:val="28"/>
          <w:szCs w:val="28"/>
        </w:rPr>
        <w:t>- полнота использованных бюджетных средств.</w:t>
      </w:r>
    </w:p>
    <w:p w:rsidR="00001918" w:rsidRDefault="00001918" w:rsidP="00001918">
      <w:pPr>
        <w:jc w:val="both"/>
        <w:rPr>
          <w:sz w:val="28"/>
          <w:szCs w:val="28"/>
        </w:rPr>
      </w:pPr>
      <w:r>
        <w:rPr>
          <w:sz w:val="28"/>
          <w:szCs w:val="28"/>
        </w:rPr>
        <w:tab/>
        <w:t>Мероприятия, дублирующие основные мероприятия других муниципальных программа, отсутствуют.</w:t>
      </w:r>
    </w:p>
    <w:p w:rsidR="00001918" w:rsidRDefault="00001918" w:rsidP="00001918">
      <w:pPr>
        <w:jc w:val="both"/>
        <w:rPr>
          <w:b/>
          <w:sz w:val="28"/>
          <w:szCs w:val="28"/>
        </w:rPr>
      </w:pPr>
    </w:p>
    <w:p w:rsidR="00001918" w:rsidRDefault="00001918" w:rsidP="00001918">
      <w:pPr>
        <w:jc w:val="both"/>
        <w:rPr>
          <w:b/>
          <w:sz w:val="28"/>
          <w:szCs w:val="28"/>
        </w:rPr>
      </w:pPr>
    </w:p>
    <w:p w:rsidR="00001918" w:rsidRDefault="00001918" w:rsidP="00001918">
      <w:pPr>
        <w:jc w:val="both"/>
        <w:rPr>
          <w:b/>
          <w:sz w:val="28"/>
          <w:szCs w:val="28"/>
        </w:rPr>
      </w:pPr>
    </w:p>
    <w:p w:rsidR="00001918" w:rsidRDefault="00001918" w:rsidP="00001918">
      <w:pPr>
        <w:jc w:val="both"/>
        <w:rPr>
          <w:b/>
          <w:sz w:val="28"/>
          <w:szCs w:val="28"/>
        </w:rPr>
      </w:pPr>
      <w:proofErr w:type="spellStart"/>
      <w:r>
        <w:rPr>
          <w:b/>
          <w:sz w:val="28"/>
          <w:szCs w:val="28"/>
        </w:rPr>
        <w:t>И.о</w:t>
      </w:r>
      <w:proofErr w:type="spellEnd"/>
      <w:r>
        <w:rPr>
          <w:b/>
          <w:sz w:val="28"/>
          <w:szCs w:val="28"/>
        </w:rPr>
        <w:t>. директора Департамента</w:t>
      </w:r>
    </w:p>
    <w:p w:rsidR="00001918" w:rsidRDefault="00001918" w:rsidP="00001918">
      <w:pPr>
        <w:jc w:val="both"/>
      </w:pPr>
      <w:r>
        <w:rPr>
          <w:b/>
          <w:sz w:val="28"/>
          <w:szCs w:val="28"/>
        </w:rPr>
        <w:t>имущественных отношений</w:t>
      </w:r>
      <w:r>
        <w:rPr>
          <w:b/>
          <w:sz w:val="28"/>
          <w:szCs w:val="28"/>
        </w:rPr>
        <w:tab/>
      </w:r>
      <w:r>
        <w:rPr>
          <w:b/>
          <w:sz w:val="28"/>
          <w:szCs w:val="28"/>
        </w:rPr>
        <w:tab/>
      </w:r>
      <w:r>
        <w:rPr>
          <w:b/>
          <w:sz w:val="28"/>
          <w:szCs w:val="28"/>
        </w:rPr>
        <w:tab/>
      </w:r>
      <w:r>
        <w:rPr>
          <w:b/>
          <w:sz w:val="28"/>
          <w:szCs w:val="28"/>
        </w:rPr>
        <w:tab/>
      </w:r>
      <w:r>
        <w:rPr>
          <w:b/>
          <w:sz w:val="28"/>
          <w:szCs w:val="28"/>
        </w:rPr>
        <w:tab/>
        <w:t xml:space="preserve">            А.В. </w:t>
      </w:r>
      <w:proofErr w:type="spellStart"/>
      <w:r>
        <w:rPr>
          <w:b/>
          <w:sz w:val="28"/>
          <w:szCs w:val="28"/>
        </w:rPr>
        <w:t>Мациюк</w:t>
      </w:r>
      <w:proofErr w:type="spellEnd"/>
    </w:p>
    <w:p w:rsidR="00001918" w:rsidRDefault="00001918" w:rsidP="00001918">
      <w:pPr>
        <w:jc w:val="both"/>
        <w:rPr>
          <w:b/>
          <w:color w:val="7030A0"/>
          <w:sz w:val="28"/>
          <w:szCs w:val="28"/>
        </w:rPr>
      </w:pPr>
      <w:r>
        <w:rPr>
          <w:b/>
          <w:color w:val="7030A0"/>
          <w:sz w:val="28"/>
          <w:szCs w:val="28"/>
        </w:rPr>
        <w:tab/>
        <w:t xml:space="preserve">   </w:t>
      </w:r>
    </w:p>
    <w:p w:rsidR="0076303A" w:rsidRDefault="0076303A">
      <w:bookmarkStart w:id="0" w:name="_GoBack"/>
      <w:bookmarkEnd w:id="0"/>
    </w:p>
    <w:sectPr w:rsidR="007630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918"/>
    <w:rsid w:val="00001918"/>
    <w:rsid w:val="007630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91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91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2579</Characters>
  <Application>Microsoft Office Word</Application>
  <DocSecurity>0</DocSecurity>
  <Lines>21</Lines>
  <Paragraphs>6</Paragraphs>
  <ScaleCrop>false</ScaleCrop>
  <Company/>
  <LinksUpToDate>false</LinksUpToDate>
  <CharactersWithSpaces>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Анатольевна. Глубоковских</dc:creator>
  <cp:lastModifiedBy>Елена Анатольевна. Глубоковских</cp:lastModifiedBy>
  <cp:revision>1</cp:revision>
  <dcterms:created xsi:type="dcterms:W3CDTF">2020-11-27T12:12:00Z</dcterms:created>
  <dcterms:modified xsi:type="dcterms:W3CDTF">2020-11-27T12:13:00Z</dcterms:modified>
</cp:coreProperties>
</file>